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00DC1" w14:textId="0E733991" w:rsidR="003E48C0" w:rsidRDefault="2A949846" w:rsidP="002857AC">
      <w:pPr>
        <w:rPr>
          <w:b/>
          <w:bCs/>
        </w:rPr>
      </w:pPr>
      <w:r w:rsidRPr="3E9D58A6">
        <w:rPr>
          <w:b/>
          <w:bCs/>
        </w:rPr>
        <w:t xml:space="preserve">Referência: </w:t>
      </w:r>
      <w:r w:rsidR="64B2F713" w:rsidRPr="3E9D58A6">
        <w:rPr>
          <w:b/>
          <w:bCs/>
        </w:rPr>
        <w:t>Pregão Eletrônico nº 90008/2026</w:t>
      </w:r>
    </w:p>
    <w:p w14:paraId="669D9C0C" w14:textId="40BA0254" w:rsidR="64B2F713" w:rsidRDefault="64B2F713" w:rsidP="3E9D58A6">
      <w:pPr>
        <w:rPr>
          <w:b/>
          <w:bCs/>
        </w:rPr>
      </w:pPr>
      <w:r w:rsidRPr="3E9D58A6">
        <w:rPr>
          <w:b/>
          <w:bCs/>
        </w:rPr>
        <w:t>Impugnante: IBROWSE CONSULTORIA E INFORMÁTICA LTDA CNPJ nº 02.877.566/0001-21</w:t>
      </w:r>
    </w:p>
    <w:p w14:paraId="5288A437" w14:textId="50AC3B2E" w:rsidR="3E9D58A6" w:rsidRDefault="3E9D58A6" w:rsidP="3E9D58A6">
      <w:pPr>
        <w:rPr>
          <w:b/>
          <w:bCs/>
        </w:rPr>
      </w:pPr>
    </w:p>
    <w:p w14:paraId="26681841" w14:textId="49F0F3D4" w:rsidR="64B2F713" w:rsidRDefault="64B2F713" w:rsidP="3E9D58A6">
      <w:pPr>
        <w:pStyle w:val="PargrafodaLista"/>
        <w:numPr>
          <w:ilvl w:val="0"/>
          <w:numId w:val="1"/>
        </w:numPr>
        <w:rPr>
          <w:b/>
          <w:bCs/>
        </w:rPr>
      </w:pPr>
      <w:r w:rsidRPr="3E9D58A6">
        <w:rPr>
          <w:b/>
          <w:bCs/>
        </w:rPr>
        <w:t>D</w:t>
      </w:r>
      <w:r w:rsidR="780BA0EA" w:rsidRPr="3E9D58A6">
        <w:rPr>
          <w:b/>
          <w:bCs/>
        </w:rPr>
        <w:t>A ANÁLISE DO PEDIDO DE IMPUGNAÇÃO</w:t>
      </w:r>
    </w:p>
    <w:p w14:paraId="101D1C9D" w14:textId="03374288" w:rsidR="002857AC" w:rsidRPr="002857AC" w:rsidRDefault="003E48C0" w:rsidP="002857AC">
      <w:r>
        <w:rPr>
          <w:b/>
          <w:bCs/>
        </w:rPr>
        <w:br/>
      </w:r>
      <w:r w:rsidR="002857AC" w:rsidRPr="002857AC">
        <w:rPr>
          <w:b/>
          <w:bCs/>
        </w:rPr>
        <w:t>III.1. Dos serviços SEM DEDICAÇÃO EXCLUSIVA DE MÃO DE OBRA com exigência de apresentação de Planilha de Custo e Formação de Preços (itens 3.4.4.4; 4.79.4 e 6.5.1 do TR).</w:t>
      </w:r>
    </w:p>
    <w:p w14:paraId="47DF787E" w14:textId="77777777" w:rsidR="002857AC" w:rsidRPr="002857AC" w:rsidRDefault="002857AC" w:rsidP="002857AC">
      <w:r w:rsidRPr="002857AC">
        <w:t> </w:t>
      </w:r>
    </w:p>
    <w:p w14:paraId="631E6239" w14:textId="77777777" w:rsidR="002857AC" w:rsidRPr="002857AC" w:rsidRDefault="002857AC" w:rsidP="002857AC">
      <w:r w:rsidRPr="002857AC">
        <w:t>A impugnante alega a ilegalidade da exigência de planilha de formação de preços.</w:t>
      </w:r>
    </w:p>
    <w:p w14:paraId="1FAB067E" w14:textId="77777777" w:rsidR="002857AC" w:rsidRPr="002857AC" w:rsidRDefault="002857AC" w:rsidP="002857AC">
      <w:r w:rsidRPr="002857AC">
        <w:t>Sustenta seu argumento apontando o modelo da contratação, sem dedicação exclusiva de mão de obra, como reiteradamente esclarecido ao longo da Portaria SGD/MGI nº 1070/2023 (P1070), na qual se baseou o Termo de Referência.</w:t>
      </w:r>
    </w:p>
    <w:p w14:paraId="7F24C4D2" w14:textId="77777777" w:rsidR="002857AC" w:rsidRPr="002857AC" w:rsidRDefault="002857AC" w:rsidP="002857AC">
      <w:r w:rsidRPr="002857AC">
        <w:t>Aponta também a licitante, os termos do Acórdão nº 535/2026, em cujo teor se lê “</w:t>
      </w:r>
      <w:r w:rsidRPr="002857AC">
        <w:rPr>
          <w:i/>
          <w:iCs/>
        </w:rPr>
        <w:t xml:space="preserve">Nas contratações de </w:t>
      </w:r>
      <w:r w:rsidRPr="002857AC">
        <w:rPr>
          <w:b/>
          <w:bCs/>
          <w:i/>
          <w:iCs/>
        </w:rPr>
        <w:t>serviços sem dedicação exclusiva de mão de obra</w:t>
      </w:r>
      <w:r w:rsidRPr="002857AC">
        <w:rPr>
          <w:i/>
          <w:iCs/>
        </w:rPr>
        <w:t>, é irregular a exigência de preenchimento da planilha de custos com observância de parâmetros típicos de vínculos celetistas</w:t>
      </w:r>
      <w:r w:rsidRPr="002857AC">
        <w:t>.”</w:t>
      </w:r>
    </w:p>
    <w:p w14:paraId="409F9D35" w14:textId="77777777" w:rsidR="002857AC" w:rsidRPr="002857AC" w:rsidRDefault="002857AC" w:rsidP="002857AC">
      <w:r w:rsidRPr="002857AC">
        <w:t>Ora, a Susep instruiu o Termo de Referência em estrita observância do arcabouço normativo das licitações de TI da natureza em tela, com destaque para:</w:t>
      </w:r>
    </w:p>
    <w:p w14:paraId="465EC9E7" w14:textId="77777777" w:rsidR="002857AC" w:rsidRPr="002857AC" w:rsidRDefault="002857AC" w:rsidP="002857AC">
      <w:pPr>
        <w:numPr>
          <w:ilvl w:val="0"/>
          <w:numId w:val="47"/>
        </w:numPr>
      </w:pPr>
      <w:r w:rsidRPr="002857AC">
        <w:t>A Lei 14133/2021;</w:t>
      </w:r>
    </w:p>
    <w:p w14:paraId="3D747FFB" w14:textId="77777777" w:rsidR="002857AC" w:rsidRPr="002857AC" w:rsidRDefault="002857AC" w:rsidP="002857AC">
      <w:pPr>
        <w:numPr>
          <w:ilvl w:val="0"/>
          <w:numId w:val="47"/>
        </w:numPr>
      </w:pPr>
      <w:r w:rsidRPr="002857AC">
        <w:t>A Instrução Normativa SGD/ME/ nº 94/2022;</w:t>
      </w:r>
    </w:p>
    <w:p w14:paraId="395E8A97" w14:textId="77777777" w:rsidR="002857AC" w:rsidRPr="002857AC" w:rsidRDefault="002857AC" w:rsidP="002857AC">
      <w:pPr>
        <w:numPr>
          <w:ilvl w:val="0"/>
          <w:numId w:val="47"/>
        </w:numPr>
      </w:pPr>
      <w:r w:rsidRPr="002857AC">
        <w:t>A Portaria SGD/MGI nº 1070/2023.</w:t>
      </w:r>
    </w:p>
    <w:p w14:paraId="7AF7847D" w14:textId="2C84B59E" w:rsidR="002857AC" w:rsidRPr="002857AC" w:rsidRDefault="002857AC" w:rsidP="002857AC">
      <w:r w:rsidRPr="002857AC">
        <w:t>Não obstante a argumentação da contratada, a P</w:t>
      </w:r>
      <w:r w:rsidR="00B74EB4">
        <w:t xml:space="preserve">ortaria nº </w:t>
      </w:r>
      <w:r w:rsidRPr="002857AC">
        <w:t>1070</w:t>
      </w:r>
      <w:r w:rsidR="00B74EB4">
        <w:t>/2023</w:t>
      </w:r>
      <w:r w:rsidRPr="002857AC">
        <w:t>, em seu Anexo I, item 10.7.3.4 é clara ao determinar que as licitantes, sim, “</w:t>
      </w:r>
      <w:r w:rsidRPr="002857AC">
        <w:rPr>
          <w:i/>
          <w:iCs/>
        </w:rPr>
        <w:t>devem entregar Planilha de Custos e Formação de Preços</w:t>
      </w:r>
      <w:r w:rsidRPr="002857AC">
        <w:t>”. Segue a Portaria, no mesmo item, indicando o Anexo B, onde constam “</w:t>
      </w:r>
      <w:r w:rsidRPr="002857AC">
        <w:rPr>
          <w:i/>
          <w:iCs/>
        </w:rPr>
        <w:t>orientações sobre a Planilha de Custos e Formação de Preços, a ser recebida durante a fase de seleção do fornecedor</w:t>
      </w:r>
      <w:r w:rsidRPr="002857AC">
        <w:t>.”</w:t>
      </w:r>
    </w:p>
    <w:p w14:paraId="04A2B41D" w14:textId="77777777" w:rsidR="002857AC" w:rsidRPr="002857AC" w:rsidRDefault="002857AC" w:rsidP="002857AC">
      <w:r w:rsidRPr="002857AC">
        <w:t>No Anexo B, a P1070 esclarece o objetivo da planilha, a saber, “</w:t>
      </w:r>
      <w:r w:rsidRPr="002857AC">
        <w:rPr>
          <w:i/>
          <w:iCs/>
        </w:rPr>
        <w:t>contribuir para a análise crítica da composição dos preços unitários e total</w:t>
      </w:r>
      <w:r w:rsidRPr="002857AC">
        <w:t>”. De fato, um dos maiores problemas enfrentados pela Administração neste tipo de contratação é a oferta de preços agressivos na fase de seleção do fornecedor. Admitisse a Administração a injustificada redução de lances, seguiria sofrendo com o seguinte cenário:</w:t>
      </w:r>
    </w:p>
    <w:p w14:paraId="70E46405" w14:textId="77777777" w:rsidR="002857AC" w:rsidRPr="002857AC" w:rsidRDefault="002857AC" w:rsidP="002857AC">
      <w:pPr>
        <w:numPr>
          <w:ilvl w:val="0"/>
          <w:numId w:val="48"/>
        </w:numPr>
      </w:pPr>
      <w:r w:rsidRPr="002857AC">
        <w:lastRenderedPageBreak/>
        <w:t>Num primeiro momento, parece haver a vantagem para a Administração, em virtude da redução dos valores contratados;</w:t>
      </w:r>
    </w:p>
    <w:p w14:paraId="04DE0975" w14:textId="7961893B" w:rsidR="002857AC" w:rsidRPr="002857AC" w:rsidRDefault="449B9D6B" w:rsidP="002857AC">
      <w:pPr>
        <w:numPr>
          <w:ilvl w:val="0"/>
          <w:numId w:val="48"/>
        </w:numPr>
      </w:pPr>
      <w:r>
        <w:t xml:space="preserve">A contratada, contudo, devido à baixa contraprestação pela Administração, não consegue aplicar recursos humanos com as </w:t>
      </w:r>
      <w:r w:rsidR="67DCC6E4">
        <w:t>necessárias experiências</w:t>
      </w:r>
      <w:r>
        <w:t>, formação e capacitação, aptos a desempenhar com a destreza exigida pelo contratante as atividades de sustentação de infraestrutura e atendimento a usuários.</w:t>
      </w:r>
    </w:p>
    <w:p w14:paraId="551D87DF" w14:textId="77777777" w:rsidR="002857AC" w:rsidRPr="002857AC" w:rsidRDefault="002857AC" w:rsidP="002857AC">
      <w:pPr>
        <w:numPr>
          <w:ilvl w:val="0"/>
          <w:numId w:val="48"/>
        </w:numPr>
      </w:pPr>
      <w:r w:rsidRPr="002857AC">
        <w:t>A contratada, portanto, insistirá na aplicação de recursos inexperientes ou com formação inadequada, que se satisfazem com remuneração menor, que possa ser suportada pelos pagamentos da Administração, conforme o lance agressivo ofertado na fase de seleção de fornecedor.</w:t>
      </w:r>
    </w:p>
    <w:p w14:paraId="68F262F5" w14:textId="77777777" w:rsidR="002857AC" w:rsidRPr="002857AC" w:rsidRDefault="002857AC" w:rsidP="002857AC">
      <w:pPr>
        <w:numPr>
          <w:ilvl w:val="0"/>
          <w:numId w:val="48"/>
        </w:numPr>
      </w:pPr>
      <w:r w:rsidRPr="002857AC">
        <w:t>A aplicação de profissionais inexperientes torna o contrato um “peso” para a Administração, ao invés de um serviço de apoio, pois os servidores da Susep passarão a se ocupar como “professores” dos novatos apresentados pela contratada, ao invés de serem por eles auxiliados.</w:t>
      </w:r>
    </w:p>
    <w:p w14:paraId="35CB2EE4" w14:textId="77777777" w:rsidR="002857AC" w:rsidRPr="002857AC" w:rsidRDefault="002857AC" w:rsidP="002857AC">
      <w:pPr>
        <w:numPr>
          <w:ilvl w:val="0"/>
          <w:numId w:val="48"/>
        </w:numPr>
      </w:pPr>
      <w:r w:rsidRPr="002857AC">
        <w:t>Em virtude dos baixos salários dos profissionais, o contrato sofre com alta taxa de rotatividade e consequente perda de conhecimento, pois os profissionais, ao acumularem alguma experiência no desempenho das atividades, não admitem remuneração incompatível com suas novas habilidades.</w:t>
      </w:r>
    </w:p>
    <w:p w14:paraId="4ED2AB28" w14:textId="77777777" w:rsidR="002857AC" w:rsidRPr="002857AC" w:rsidRDefault="002857AC" w:rsidP="002857AC">
      <w:pPr>
        <w:numPr>
          <w:ilvl w:val="0"/>
          <w:numId w:val="48"/>
        </w:numPr>
      </w:pPr>
      <w:r w:rsidRPr="002857AC">
        <w:t>Em virtude das recorrentes advertências emitidas pela Administração, a contratada procederá em reiteradas substituições de recursos técnicos, provocando perda de conhecimento e queda do desempenho da execução.</w:t>
      </w:r>
    </w:p>
    <w:p w14:paraId="02FCFE91" w14:textId="77777777" w:rsidR="002857AC" w:rsidRPr="002857AC" w:rsidRDefault="002857AC" w:rsidP="002857AC">
      <w:pPr>
        <w:numPr>
          <w:ilvl w:val="0"/>
          <w:numId w:val="48"/>
        </w:numPr>
      </w:pPr>
      <w:r w:rsidRPr="002857AC">
        <w:t>Por aplicar recursos inadequados, a contratada é reiteradamente penalizada com glosas, multas e demais sanções que trazem severo arrasto administrativo à gestão do contrato.</w:t>
      </w:r>
    </w:p>
    <w:p w14:paraId="3EBEBCC5" w14:textId="77777777" w:rsidR="002857AC" w:rsidRPr="002857AC" w:rsidRDefault="002857AC" w:rsidP="002857AC">
      <w:pPr>
        <w:numPr>
          <w:ilvl w:val="0"/>
          <w:numId w:val="48"/>
        </w:numPr>
      </w:pPr>
      <w:r w:rsidRPr="002857AC">
        <w:t>Por aplicar recursos inadequados, a contratada não consegue alcançar os objetivos da contratação, uma vez que a infraestrutura de TI não será sustentada a contento tampouco serão atendidos satisfatoriamente os usuários de TI da Susep.</w:t>
      </w:r>
    </w:p>
    <w:p w14:paraId="365C9EF8" w14:textId="77777777" w:rsidR="002857AC" w:rsidRPr="002857AC" w:rsidRDefault="002857AC" w:rsidP="002857AC">
      <w:pPr>
        <w:numPr>
          <w:ilvl w:val="0"/>
          <w:numId w:val="48"/>
        </w:numPr>
      </w:pPr>
      <w:r w:rsidRPr="002857AC">
        <w:t>A alta taxa de rotatividade de profissionais implicará perda de conhecimento, interrupção de projetos, mobilização dos servidores da Susep na capacitação de novos técnicos, tornando contraproducente a execução do contrato.</w:t>
      </w:r>
    </w:p>
    <w:p w14:paraId="1A4B72ED" w14:textId="77777777" w:rsidR="002857AC" w:rsidRPr="002857AC" w:rsidRDefault="002857AC" w:rsidP="002857AC">
      <w:r w:rsidRPr="002857AC">
        <w:t>O cenário delineado acima, decorrente da livre e predatória disputa de preços entre licitantes, conduz a Administração à conclusão de que é melhor não contratar do que contratar estando exposta a tais riscos.</w:t>
      </w:r>
    </w:p>
    <w:p w14:paraId="5B84B7FA" w14:textId="17103BED" w:rsidR="002857AC" w:rsidRPr="002857AC" w:rsidRDefault="002857AC" w:rsidP="002857AC">
      <w:r w:rsidRPr="002857AC">
        <w:lastRenderedPageBreak/>
        <w:t>É nessa perspectiva que a Planilha de Custos e Formação de Preços é indicada pela P1070 como o instrumento que à Administração diligenciar os lances ofertados pelas licitantes, com o objetivo de certificar que os valores recebidos em pagamento serão suficientes para suportar as obrigações trabalhistas, fiscais, previdenciárias além do devido lucro da operação, conforme as remunerações balizadores indicadas pela SGD/MGI na P1070.</w:t>
      </w:r>
      <w:r w:rsidR="00EA6380">
        <w:t xml:space="preserve"> </w:t>
      </w:r>
    </w:p>
    <w:p w14:paraId="0D92CF69" w14:textId="77777777" w:rsidR="002857AC" w:rsidRPr="002857AC" w:rsidRDefault="002857AC" w:rsidP="002857AC">
      <w:r w:rsidRPr="002857AC">
        <w:t>Assim, prescindir da Planilha de Custos e Formação de preços significa, para a Administração, confiar cegamente na capacidade da licitante de prover recursos e serviços mesmo com baixa contraprestação, o que, em última análise, corresponde à aceitação de riscos inadmissíveis, conforme exposto acima.</w:t>
      </w:r>
    </w:p>
    <w:p w14:paraId="542B9D99" w14:textId="7672C54D" w:rsidR="002857AC" w:rsidRPr="002857AC" w:rsidRDefault="002857AC" w:rsidP="002857AC">
      <w:r w:rsidRPr="002857AC">
        <w:t>Dessa forma, e a despeito da argumentação da licitante, entende a Administração pela continuidade do certame com a exigência da Planilha, aumentando a segurança da contratação e as chances de atingimento dos objetivos da Administração.</w:t>
      </w:r>
      <w:r>
        <w:br/>
      </w:r>
    </w:p>
    <w:p w14:paraId="20F62126" w14:textId="77777777" w:rsidR="002857AC" w:rsidRPr="002857AC" w:rsidRDefault="002857AC" w:rsidP="002857AC">
      <w:r w:rsidRPr="002857AC">
        <w:rPr>
          <w:b/>
          <w:bCs/>
        </w:rPr>
        <w:t>III.2. FIXAÇÃO DE VALOR MÍNIMO DE REMUNERAÇÃO COMO CRITÉRIO DE AFERIÇÃO DE EXEQUIBILIDADE </w:t>
      </w:r>
      <w:r w:rsidRPr="002857AC">
        <w:t>(itens 3.4.4.4; 4.79.1; 4.79.3; 4.79.5; 4.79.6, 4.79.8; 4.79.9 e 4.81 do TR)</w:t>
      </w:r>
      <w:r w:rsidRPr="002857AC">
        <w:rPr>
          <w:b/>
          <w:bCs/>
        </w:rPr>
        <w:t>.</w:t>
      </w:r>
    </w:p>
    <w:p w14:paraId="1D626295" w14:textId="77777777" w:rsidR="002857AC" w:rsidRPr="002857AC" w:rsidRDefault="002857AC" w:rsidP="002857AC">
      <w:r w:rsidRPr="002857AC">
        <w:t> </w:t>
      </w:r>
    </w:p>
    <w:p w14:paraId="626CB54F" w14:textId="77777777" w:rsidR="002857AC" w:rsidRPr="002857AC" w:rsidRDefault="002857AC" w:rsidP="002857AC">
      <w:r w:rsidRPr="002857AC">
        <w:t>Insurge a licitante contra a fixação de valor mínimo de remuneração dos profissionais.</w:t>
      </w:r>
    </w:p>
    <w:p w14:paraId="7F7486F7" w14:textId="77777777" w:rsidR="002857AC" w:rsidRPr="002857AC" w:rsidRDefault="002857AC" w:rsidP="002857AC">
      <w:r w:rsidRPr="002857AC">
        <w:t>Mais uma vez recorre à licitante ao Acórdão nº 535/2026-TCU-Plenário, fazendo referência à Portaria SGD/MGI nº 750/2023, que trata de modelo de contratação de serviços de desenvolvimento de software, sem qualquer relação com o objeto em questão.</w:t>
      </w:r>
    </w:p>
    <w:p w14:paraId="346AA7D2" w14:textId="77777777" w:rsidR="002857AC" w:rsidRPr="002857AC" w:rsidRDefault="002857AC" w:rsidP="002857AC">
      <w:r w:rsidRPr="002857AC">
        <w:t>Porém, acatando o “espírito” do acórdão, defende a licitante que a fixação de valores serve apenas para apuração do valor de referência, não servindo, contudo, de patamar de exequibilidade.</w:t>
      </w:r>
    </w:p>
    <w:p w14:paraId="7AB4E0F4" w14:textId="0E83A1DD" w:rsidR="002857AC" w:rsidRPr="002857AC" w:rsidRDefault="3E565A20" w:rsidP="002857AC">
      <w:r>
        <w:t xml:space="preserve">A Portaria SGD/MGI nº 1.070/2023 recomenda a utilização do patamar de inexequibilidade considerando o salário constante no Anexo II para o conjunto mínimo de profissionais estimados para execução dos serviços. </w:t>
      </w:r>
      <w:r w:rsidR="39AB43E4">
        <w:t xml:space="preserve">A </w:t>
      </w:r>
      <w:r>
        <w:t>Susep</w:t>
      </w:r>
      <w:r w:rsidR="449B9D6B">
        <w:t xml:space="preserve">, no </w:t>
      </w:r>
      <w:r w:rsidR="6558A326">
        <w:t xml:space="preserve">item 4.79.6 do </w:t>
      </w:r>
      <w:r w:rsidR="449B9D6B">
        <w:t xml:space="preserve">Termo de Referência, </w:t>
      </w:r>
      <w:r w:rsidR="39AB43E4">
        <w:t xml:space="preserve">entendeu pela necessidade de estabelecimento de valores de remuneração dos perfis profissionais </w:t>
      </w:r>
      <w:r w:rsidR="6558A326">
        <w:t>demandados,</w:t>
      </w:r>
      <w:r w:rsidR="39AB43E4">
        <w:t xml:space="preserve"> </w:t>
      </w:r>
      <w:r w:rsidR="6558A326">
        <w:t xml:space="preserve">de forma a trazer isonomia e equanimidade de propostas, evitando </w:t>
      </w:r>
      <w:r w:rsidR="00C60126">
        <w:t xml:space="preserve">também </w:t>
      </w:r>
      <w:r w:rsidR="449B9D6B">
        <w:t xml:space="preserve">como observado em diversas licitações, </w:t>
      </w:r>
      <w:r w:rsidR="028DD493">
        <w:t xml:space="preserve">que se </w:t>
      </w:r>
      <w:r w:rsidR="449B9D6B">
        <w:t>condu</w:t>
      </w:r>
      <w:r w:rsidR="022D1EAD">
        <w:t>za</w:t>
      </w:r>
      <w:r w:rsidR="449B9D6B">
        <w:t xml:space="preserve"> ao cenário apresentado no primeiro tópico, inviabilizando a contratação.</w:t>
      </w:r>
    </w:p>
    <w:p w14:paraId="0826DD4A" w14:textId="77777777" w:rsidR="002857AC" w:rsidRPr="002857AC" w:rsidRDefault="002857AC" w:rsidP="002857AC">
      <w:r w:rsidRPr="002857AC">
        <w:lastRenderedPageBreak/>
        <w:t>De antemão, a Susep pode garantir às licitantes: os profissionais vão trabalhar presencialmente e, dada a complexidade e volume de projetos em portfólio, não terão tempos de ser compartilhados com outros contratantes sem prejuízo dos níveis mínimos de serviços, especialmente se forem os profissionais que admitam remuneração reduzida.</w:t>
      </w:r>
    </w:p>
    <w:p w14:paraId="5604220B" w14:textId="77777777" w:rsidR="002857AC" w:rsidRPr="002857AC" w:rsidRDefault="002857AC" w:rsidP="002857AC">
      <w:r w:rsidRPr="002857AC">
        <w:t>Nessas condições, permanecerão os funcionários nas instalações da Susep durante todo o expediente, o que, por segurança jurídica da Susep e da equipe de fiscalização, demanda que o vínculo destes profissionais com a contratada seja de caráter celetista, conforme análise de riscos realizada pela Equipe de Planejamento da Contratação.</w:t>
      </w:r>
    </w:p>
    <w:p w14:paraId="779AE8BE" w14:textId="664049A1" w:rsidR="002857AC" w:rsidRPr="002857AC" w:rsidRDefault="002857AC" w:rsidP="002857AC">
      <w:r w:rsidRPr="002857AC">
        <w:t>Portanto, no entendimento desta equipe, devem permanecer os salários fixados pela P</w:t>
      </w:r>
      <w:r w:rsidR="00601CBC">
        <w:t xml:space="preserve">ortaria SGD/MGI nº </w:t>
      </w:r>
      <w:r w:rsidRPr="002857AC">
        <w:t>1070</w:t>
      </w:r>
      <w:r w:rsidR="00601CBC">
        <w:t>/2023</w:t>
      </w:r>
      <w:r w:rsidRPr="002857AC">
        <w:t xml:space="preserve"> como parâmetro de avaliação de exequibilidade da proposta bem como o vínculo contratual entre profissionais e contratada estabelecidos no Termo de Referência.</w:t>
      </w:r>
    </w:p>
    <w:p w14:paraId="35418EEB" w14:textId="6B4E110B" w:rsidR="003A3511" w:rsidRDefault="003A3511" w:rsidP="002857AC"/>
    <w:p w14:paraId="7E02D1E4" w14:textId="77777777" w:rsidR="0090404C" w:rsidRPr="0090404C" w:rsidRDefault="0090404C" w:rsidP="0090404C">
      <w:r w:rsidRPr="0090404C">
        <w:rPr>
          <w:b/>
          <w:bCs/>
        </w:rPr>
        <w:t>III.3. PREVISÃO DE AFERIÇÃO EXEQUIBILIDADE NO CASO DE APRESENTAÇÃO DE PERCENTUAL INFERIOR A 70% (SETENTA POR CENTO) DO PREÇO ESTIMADO NA LICITAÇÃO EM DESCONFORMIDADE COM A PORTARIA SGD/MGI Nº 1.070/23 </w:t>
      </w:r>
      <w:r w:rsidRPr="0090404C">
        <w:t>(ITENS 4.79 E 4.79.2 DO TR)</w:t>
      </w:r>
      <w:r w:rsidRPr="0090404C">
        <w:rPr>
          <w:b/>
          <w:bCs/>
        </w:rPr>
        <w:t>.</w:t>
      </w:r>
    </w:p>
    <w:p w14:paraId="4D3B201F" w14:textId="77777777" w:rsidR="0090404C" w:rsidRPr="0090404C" w:rsidRDefault="0090404C" w:rsidP="0090404C">
      <w:r w:rsidRPr="0090404C">
        <w:t> </w:t>
      </w:r>
    </w:p>
    <w:p w14:paraId="704C2EAF" w14:textId="775568F3" w:rsidR="0090404C" w:rsidRPr="0090404C" w:rsidRDefault="07CF74C6" w:rsidP="0090404C">
      <w:r>
        <w:t xml:space="preserve">A licitante repele o disposto no item 4.79.2 do Termo de Referência, que informa o seguinte: propostas cujo valor seja menos que 70% do valor de </w:t>
      </w:r>
      <w:r w:rsidR="4DEA92AA">
        <w:t>referência serão</w:t>
      </w:r>
      <w:r>
        <w:t xml:space="preserve"> objeto de diligência.</w:t>
      </w:r>
    </w:p>
    <w:p w14:paraId="35A7DF38" w14:textId="7A5C0371" w:rsidR="0090404C" w:rsidRPr="0090404C" w:rsidRDefault="0090404C" w:rsidP="0090404C">
      <w:r w:rsidRPr="0090404C">
        <w:t xml:space="preserve">Recorre a licitante </w:t>
      </w:r>
      <w:r w:rsidR="004E2DFE" w:rsidRPr="0090404C">
        <w:t>à IN</w:t>
      </w:r>
      <w:r w:rsidRPr="0090404C">
        <w:t xml:space="preserve"> Seges/ME nº 73/2022, que expressamente informa ser de 50% o percentual declaração de indício de inexequibilidade. Mas continua a mesma IN a dizer no Parágrafo único do artigo 34 que a inexequibilidade será declarada após a devida diligência.</w:t>
      </w:r>
    </w:p>
    <w:p w14:paraId="042B33B3" w14:textId="77777777" w:rsidR="0090404C" w:rsidRPr="0090404C" w:rsidRDefault="0090404C" w:rsidP="0090404C">
      <w:r w:rsidRPr="0090404C">
        <w:t>Ora, a Administração tem o direito líquido e certo de diligenciar qualquer proposta. O percentual fixado foi meramente para orientar os trabalhos da equipe de licitação durante os seus trabalhos.</w:t>
      </w:r>
    </w:p>
    <w:p w14:paraId="086B1107" w14:textId="77777777" w:rsidR="0090404C" w:rsidRDefault="0090404C" w:rsidP="0090404C">
      <w:r w:rsidRPr="0090404C">
        <w:t>Assim, confiado do poder discricionário de a contratação diligenciar as propostas recebidas, especialmente aquelas com  valores significativamente inferiores ao valor de referência, se valerá a Administração desta faculdade para aumentar as chances de a contratação alcançar os seus objetivos.</w:t>
      </w:r>
    </w:p>
    <w:p w14:paraId="2EFE794C" w14:textId="77777777" w:rsidR="0090404C" w:rsidRDefault="0090404C" w:rsidP="0090404C"/>
    <w:p w14:paraId="7CA1D19E" w14:textId="77777777" w:rsidR="00B74EB4" w:rsidRPr="00B74EB4" w:rsidRDefault="00B74EB4" w:rsidP="00B74EB4">
      <w:r w:rsidRPr="00B74EB4">
        <w:rPr>
          <w:b/>
          <w:bCs/>
        </w:rPr>
        <w:lastRenderedPageBreak/>
        <w:t>III.4. EXIGÊNCIA DE ALOCAÇÃO DE EQUIPE MÍNIMA, EM DESCONFORMIDADE COM A PORTARIA SGD/MGI Nº 1.070/23, ATUALIZADA, E ENTENDIMENTO DO TCU </w:t>
      </w:r>
      <w:r w:rsidRPr="00B74EB4">
        <w:t>(itens 3.4.4.4. e 3.4.4.5. do TR).</w:t>
      </w:r>
    </w:p>
    <w:p w14:paraId="66F3949B" w14:textId="77777777" w:rsidR="00B74EB4" w:rsidRPr="00B74EB4" w:rsidRDefault="00B74EB4" w:rsidP="00B74EB4">
      <w:r w:rsidRPr="00B74EB4">
        <w:t> </w:t>
      </w:r>
    </w:p>
    <w:p w14:paraId="2998E20A" w14:textId="77777777" w:rsidR="00B74EB4" w:rsidRPr="00B74EB4" w:rsidRDefault="00B74EB4" w:rsidP="00B74EB4">
      <w:r w:rsidRPr="00B74EB4">
        <w:t>Alega a licitante contradição entre dois anexos do Termo de Referência. Engana-se a contratada ao apontar contradição, pois os dois documentos indicam a mesma quantidade por perfil, sendo, portanto, coerentes entre si.</w:t>
      </w:r>
    </w:p>
    <w:p w14:paraId="69246A67" w14:textId="77777777" w:rsidR="00B74EB4" w:rsidRPr="00B74EB4" w:rsidRDefault="00B74EB4" w:rsidP="00B74EB4">
      <w:r w:rsidRPr="00B74EB4">
        <w:t>O Anexo I trata dos perfis profissionais exigidos para a prestação do serviço; e o Anexo II elenca perfis e quantidades que caracterizam a equipe básica a atuar no ambiente da Susep.</w:t>
      </w:r>
    </w:p>
    <w:p w14:paraId="3512EA47" w14:textId="77777777" w:rsidR="00B74EB4" w:rsidRPr="00B74EB4" w:rsidRDefault="00B74EB4" w:rsidP="00B74EB4">
      <w:r w:rsidRPr="00B74EB4">
        <w:t>O primeiro versa sobre a formação, a capacitação e a experiência esperadas dos profissionais apresentados, conforme a posição a ser ocupada na equipe. O segundo, por sua vez, desmembra perfis conforme a sua localização, especificando a quantidade.</w:t>
      </w:r>
    </w:p>
    <w:p w14:paraId="31B27F1C" w14:textId="6E02196F" w:rsidR="00B74EB4" w:rsidRPr="00B74EB4" w:rsidRDefault="39AB43E4" w:rsidP="00B74EB4">
      <w:r>
        <w:t xml:space="preserve">Quanto à exigência de atendimento aos quantitativos previstos no Anexo 2 – Equipe Básica, buscou a Equipe de Planejamento assim determinar tendo conhecimento do histórico e ocorrências do contratual </w:t>
      </w:r>
      <w:r w:rsidR="0AA15D55">
        <w:t>atual, das</w:t>
      </w:r>
      <w:r>
        <w:t xml:space="preserve"> diversas áreas de atuação dos profissionais e do volume de projetos paralelos que serão conduzidos pela contratada em sede de execução contratual, tudo isso com base no disposto no item 10.7.2 (e subitens) da Portaria SGD/MGI nº 1070/2023. Conhecendo o ambiente da Susep e o volume de serviço a ser enfrentado pela contratada, a Equipe de Planejamento assegura a todas as licitantes que os perfis com quantidade 2 ao invés de 1 na mesma localidade foram assim fixados por ser inviável que apenas um profissional por perfil trate todas as demandas apresentadas sem violação dos níveis mínimos do serviço.</w:t>
      </w:r>
    </w:p>
    <w:p w14:paraId="27C31C6E" w14:textId="77777777" w:rsidR="00B74EB4" w:rsidRPr="00B74EB4" w:rsidRDefault="39AB43E4" w:rsidP="00B74EB4">
      <w:r>
        <w:t>E mesmo com a fixação dessas quantidades, a Susep está sendo conservadora, pois a equipe da contratação em tela é menor que a do contrato atual, apesar do ingresso de 75 novos servidores nos quadros da autarquia em dezembro/2025, o qual aumentou em 20% o número de usuários a serem atendidos.</w:t>
      </w:r>
    </w:p>
    <w:p w14:paraId="2FDA4C7A" w14:textId="0FCD47FF" w:rsidR="5378B711" w:rsidRDefault="5378B711">
      <w:r>
        <w:t xml:space="preserve">Vale ainda notar que </w:t>
      </w:r>
      <w:r w:rsidR="0641EFC7">
        <w:t>o item 14.1, “c” da Portaria SGD/MGI nº 1.070/23 estabel</w:t>
      </w:r>
      <w:r w:rsidR="042F6735">
        <w:t>e</w:t>
      </w:r>
      <w:r w:rsidR="0641EFC7">
        <w:t>ce a alo</w:t>
      </w:r>
      <w:r w:rsidR="24F74AC8">
        <w:t>ca</w:t>
      </w:r>
      <w:r w:rsidR="0641EFC7">
        <w:t xml:space="preserve">ção de um profissional do mesmo perfil por ordem de serviço, </w:t>
      </w:r>
      <w:r w:rsidR="45F18223">
        <w:t>ou seja,</w:t>
      </w:r>
      <w:r w:rsidR="0641EFC7">
        <w:t xml:space="preserve"> cada ordem de serviço somente pode ter um</w:t>
      </w:r>
      <w:r w:rsidR="2BF4EE08">
        <w:t xml:space="preserve"> profissional, o</w:t>
      </w:r>
      <w:r w:rsidR="58E87994">
        <w:t>u seja, a restrição aplica-se somente às Ordens de Serviço, não se aplicando ao contratto como um todo. Podendo haver mais de um profissional por perfil.</w:t>
      </w:r>
    </w:p>
    <w:p w14:paraId="032677D7" w14:textId="77777777" w:rsidR="00B74EB4" w:rsidRPr="00B74EB4" w:rsidRDefault="39AB43E4" w:rsidP="00B74EB4">
      <w:r>
        <w:t>Dessa forma, a Susep procura garantir que a contratação atinja seus objetivos, conforme fixados em tempo de planejamento.</w:t>
      </w:r>
    </w:p>
    <w:p w14:paraId="0908FCE1" w14:textId="3F1ECEC1" w:rsidR="707D8167" w:rsidRDefault="707D8167" w:rsidP="3E9D58A6">
      <w:pPr>
        <w:pStyle w:val="PargrafodaLista"/>
        <w:numPr>
          <w:ilvl w:val="0"/>
          <w:numId w:val="1"/>
        </w:numPr>
      </w:pPr>
      <w:r>
        <w:t>DA DECISÃO</w:t>
      </w:r>
    </w:p>
    <w:p w14:paraId="5B9B9D15" w14:textId="29945BD9" w:rsidR="3E9D58A6" w:rsidRDefault="3E9D58A6" w:rsidP="3E9D58A6">
      <w:pPr>
        <w:pStyle w:val="PargrafodaLista"/>
      </w:pPr>
    </w:p>
    <w:p w14:paraId="348B11E4" w14:textId="5720AC5C" w:rsidR="58A2C4BC" w:rsidRDefault="58A2C4BC" w:rsidP="3E9D58A6">
      <w:r>
        <w:t xml:space="preserve">Considerando-se as razões acima expostas, a equipe de contratação entende por conhecer o </w:t>
      </w:r>
      <w:r w:rsidR="66C9E1D1">
        <w:t xml:space="preserve">pedido de impugnação </w:t>
      </w:r>
      <w:r>
        <w:t>e declará-lo improcedente,</w:t>
      </w:r>
      <w:r w:rsidR="4D26379E">
        <w:t xml:space="preserve"> </w:t>
      </w:r>
      <w:r w:rsidR="1F84626B">
        <w:t>mantendo</w:t>
      </w:r>
      <w:r w:rsidR="4D26379E">
        <w:t xml:space="preserve"> o</w:t>
      </w:r>
      <w:r w:rsidR="4EBC804C">
        <w:t>s termos do</w:t>
      </w:r>
      <w:r w:rsidR="4D26379E">
        <w:t xml:space="preserve"> certame licitatório</w:t>
      </w:r>
      <w:r w:rsidR="6705C8C9">
        <w:t xml:space="preserve"> conforme publicação</w:t>
      </w:r>
      <w:r w:rsidR="4D26379E">
        <w:t>.</w:t>
      </w:r>
    </w:p>
    <w:p w14:paraId="17E879C8" w14:textId="77777777" w:rsidR="0090404C" w:rsidRDefault="0090404C" w:rsidP="0090404C"/>
    <w:p w14:paraId="06AC2545" w14:textId="77777777" w:rsidR="0090404C" w:rsidRDefault="0090404C" w:rsidP="0090404C"/>
    <w:p w14:paraId="4F030352" w14:textId="77777777" w:rsidR="0090404C" w:rsidRPr="0090404C" w:rsidRDefault="0090404C" w:rsidP="0090404C"/>
    <w:p w14:paraId="7EFA1848" w14:textId="77777777" w:rsidR="002857AC" w:rsidRPr="002857AC" w:rsidRDefault="002857AC" w:rsidP="002857AC"/>
    <w:sectPr w:rsidR="002857AC" w:rsidRPr="002857A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66C"/>
    <w:multiLevelType w:val="multilevel"/>
    <w:tmpl w:val="1352700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E146B4"/>
    <w:multiLevelType w:val="multilevel"/>
    <w:tmpl w:val="53D0CD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C7637"/>
    <w:multiLevelType w:val="multilevel"/>
    <w:tmpl w:val="F73C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D5DDE"/>
    <w:multiLevelType w:val="multilevel"/>
    <w:tmpl w:val="9144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B017FD"/>
    <w:multiLevelType w:val="multilevel"/>
    <w:tmpl w:val="D4FA1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A67B65"/>
    <w:multiLevelType w:val="multilevel"/>
    <w:tmpl w:val="4E56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57846"/>
    <w:multiLevelType w:val="multilevel"/>
    <w:tmpl w:val="F0E07F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940BEB"/>
    <w:multiLevelType w:val="multilevel"/>
    <w:tmpl w:val="B9CC4F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347FB"/>
    <w:multiLevelType w:val="multilevel"/>
    <w:tmpl w:val="31F0101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D50D06"/>
    <w:multiLevelType w:val="multilevel"/>
    <w:tmpl w:val="A7CE03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B08AE"/>
    <w:multiLevelType w:val="multilevel"/>
    <w:tmpl w:val="7BC8362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9037A1"/>
    <w:multiLevelType w:val="multilevel"/>
    <w:tmpl w:val="B19C4DD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573EF6"/>
    <w:multiLevelType w:val="multilevel"/>
    <w:tmpl w:val="47E0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601DCA"/>
    <w:multiLevelType w:val="multilevel"/>
    <w:tmpl w:val="0ABE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F11DB"/>
    <w:multiLevelType w:val="multilevel"/>
    <w:tmpl w:val="6B680D5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371499"/>
    <w:multiLevelType w:val="multilevel"/>
    <w:tmpl w:val="E1424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13FCA"/>
    <w:multiLevelType w:val="multilevel"/>
    <w:tmpl w:val="C2B426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4C3D"/>
    <w:multiLevelType w:val="multilevel"/>
    <w:tmpl w:val="19FAD96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952281"/>
    <w:multiLevelType w:val="multilevel"/>
    <w:tmpl w:val="C186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011D1B"/>
    <w:multiLevelType w:val="hybridMultilevel"/>
    <w:tmpl w:val="2520AB98"/>
    <w:lvl w:ilvl="0" w:tplc="8F4E4CFE">
      <w:start w:val="1"/>
      <w:numFmt w:val="decimal"/>
      <w:lvlText w:val="%1)"/>
      <w:lvlJc w:val="left"/>
      <w:pPr>
        <w:ind w:left="720" w:hanging="360"/>
      </w:pPr>
    </w:lvl>
    <w:lvl w:ilvl="1" w:tplc="0414C8A8">
      <w:start w:val="1"/>
      <w:numFmt w:val="lowerLetter"/>
      <w:lvlText w:val="%2."/>
      <w:lvlJc w:val="left"/>
      <w:pPr>
        <w:ind w:left="1440" w:hanging="360"/>
      </w:pPr>
    </w:lvl>
    <w:lvl w:ilvl="2" w:tplc="71F0957E">
      <w:start w:val="1"/>
      <w:numFmt w:val="lowerRoman"/>
      <w:lvlText w:val="%3."/>
      <w:lvlJc w:val="right"/>
      <w:pPr>
        <w:ind w:left="2160" w:hanging="180"/>
      </w:pPr>
    </w:lvl>
    <w:lvl w:ilvl="3" w:tplc="A48E4EC4">
      <w:start w:val="1"/>
      <w:numFmt w:val="decimal"/>
      <w:lvlText w:val="%4."/>
      <w:lvlJc w:val="left"/>
      <w:pPr>
        <w:ind w:left="2880" w:hanging="360"/>
      </w:pPr>
    </w:lvl>
    <w:lvl w:ilvl="4" w:tplc="2C287952">
      <w:start w:val="1"/>
      <w:numFmt w:val="lowerLetter"/>
      <w:lvlText w:val="%5."/>
      <w:lvlJc w:val="left"/>
      <w:pPr>
        <w:ind w:left="3600" w:hanging="360"/>
      </w:pPr>
    </w:lvl>
    <w:lvl w:ilvl="5" w:tplc="D40EAE38">
      <w:start w:val="1"/>
      <w:numFmt w:val="lowerRoman"/>
      <w:lvlText w:val="%6."/>
      <w:lvlJc w:val="right"/>
      <w:pPr>
        <w:ind w:left="4320" w:hanging="180"/>
      </w:pPr>
    </w:lvl>
    <w:lvl w:ilvl="6" w:tplc="07628064">
      <w:start w:val="1"/>
      <w:numFmt w:val="decimal"/>
      <w:lvlText w:val="%7."/>
      <w:lvlJc w:val="left"/>
      <w:pPr>
        <w:ind w:left="5040" w:hanging="360"/>
      </w:pPr>
    </w:lvl>
    <w:lvl w:ilvl="7" w:tplc="16FE6522">
      <w:start w:val="1"/>
      <w:numFmt w:val="lowerLetter"/>
      <w:lvlText w:val="%8."/>
      <w:lvlJc w:val="left"/>
      <w:pPr>
        <w:ind w:left="5760" w:hanging="360"/>
      </w:pPr>
    </w:lvl>
    <w:lvl w:ilvl="8" w:tplc="41C0CA90">
      <w:start w:val="1"/>
      <w:numFmt w:val="lowerRoman"/>
      <w:lvlText w:val="%9."/>
      <w:lvlJc w:val="right"/>
      <w:pPr>
        <w:ind w:left="6480" w:hanging="180"/>
      </w:pPr>
    </w:lvl>
  </w:abstractNum>
  <w:abstractNum w:abstractNumId="20" w15:restartNumberingAfterBreak="0">
    <w:nsid w:val="38CF2CE5"/>
    <w:multiLevelType w:val="multilevel"/>
    <w:tmpl w:val="36B2D334"/>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D212D8"/>
    <w:multiLevelType w:val="multilevel"/>
    <w:tmpl w:val="4420E5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E422EE"/>
    <w:multiLevelType w:val="multilevel"/>
    <w:tmpl w:val="FD72BF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193E0F"/>
    <w:multiLevelType w:val="multilevel"/>
    <w:tmpl w:val="20EA1E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3B41B4"/>
    <w:multiLevelType w:val="multilevel"/>
    <w:tmpl w:val="C494D2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1A0C22"/>
    <w:multiLevelType w:val="multilevel"/>
    <w:tmpl w:val="35E879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D92003"/>
    <w:multiLevelType w:val="multilevel"/>
    <w:tmpl w:val="7758D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F368CD"/>
    <w:multiLevelType w:val="multilevel"/>
    <w:tmpl w:val="A31CF7B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7904FC"/>
    <w:multiLevelType w:val="multilevel"/>
    <w:tmpl w:val="F0E06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AD1783"/>
    <w:multiLevelType w:val="multilevel"/>
    <w:tmpl w:val="809668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1D60F9"/>
    <w:multiLevelType w:val="multilevel"/>
    <w:tmpl w:val="0E52CFCA"/>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C2211E"/>
    <w:multiLevelType w:val="multilevel"/>
    <w:tmpl w:val="4D0C3F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C17527"/>
    <w:multiLevelType w:val="multilevel"/>
    <w:tmpl w:val="307A28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161C18"/>
    <w:multiLevelType w:val="multilevel"/>
    <w:tmpl w:val="F22647F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B77D7C"/>
    <w:multiLevelType w:val="multilevel"/>
    <w:tmpl w:val="81842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F45A15"/>
    <w:multiLevelType w:val="multilevel"/>
    <w:tmpl w:val="2B40B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325683"/>
    <w:multiLevelType w:val="multilevel"/>
    <w:tmpl w:val="3C7483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505A24"/>
    <w:multiLevelType w:val="multilevel"/>
    <w:tmpl w:val="E2C89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124E92"/>
    <w:multiLevelType w:val="multilevel"/>
    <w:tmpl w:val="0CB847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590358"/>
    <w:multiLevelType w:val="multilevel"/>
    <w:tmpl w:val="FF08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037AAA"/>
    <w:multiLevelType w:val="multilevel"/>
    <w:tmpl w:val="2E028E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EB1084"/>
    <w:multiLevelType w:val="multilevel"/>
    <w:tmpl w:val="B9E64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142077"/>
    <w:multiLevelType w:val="multilevel"/>
    <w:tmpl w:val="4130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6A0D9B"/>
    <w:multiLevelType w:val="multilevel"/>
    <w:tmpl w:val="68DC2B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6A78D2"/>
    <w:multiLevelType w:val="multilevel"/>
    <w:tmpl w:val="CFDA79D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727F15"/>
    <w:multiLevelType w:val="multilevel"/>
    <w:tmpl w:val="4F4687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7539DA"/>
    <w:multiLevelType w:val="multilevel"/>
    <w:tmpl w:val="1946F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9A7A8A"/>
    <w:multiLevelType w:val="multilevel"/>
    <w:tmpl w:val="A9E428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9387775">
    <w:abstractNumId w:val="19"/>
  </w:num>
  <w:num w:numId="2" w16cid:durableId="424882939">
    <w:abstractNumId w:val="22"/>
  </w:num>
  <w:num w:numId="3" w16cid:durableId="1093017464">
    <w:abstractNumId w:val="47"/>
  </w:num>
  <w:num w:numId="4" w16cid:durableId="190920226">
    <w:abstractNumId w:val="40"/>
  </w:num>
  <w:num w:numId="5" w16cid:durableId="1531259470">
    <w:abstractNumId w:val="36"/>
  </w:num>
  <w:num w:numId="6" w16cid:durableId="2010597165">
    <w:abstractNumId w:val="23"/>
  </w:num>
  <w:num w:numId="7" w16cid:durableId="1062407182">
    <w:abstractNumId w:val="32"/>
  </w:num>
  <w:num w:numId="8" w16cid:durableId="1548757118">
    <w:abstractNumId w:val="14"/>
  </w:num>
  <w:num w:numId="9" w16cid:durableId="2093551152">
    <w:abstractNumId w:val="6"/>
  </w:num>
  <w:num w:numId="10" w16cid:durableId="715205128">
    <w:abstractNumId w:val="25"/>
  </w:num>
  <w:num w:numId="11" w16cid:durableId="1490901554">
    <w:abstractNumId w:val="24"/>
  </w:num>
  <w:num w:numId="12" w16cid:durableId="1930654370">
    <w:abstractNumId w:val="45"/>
  </w:num>
  <w:num w:numId="13" w16cid:durableId="644622784">
    <w:abstractNumId w:val="1"/>
  </w:num>
  <w:num w:numId="14" w16cid:durableId="887255347">
    <w:abstractNumId w:val="38"/>
  </w:num>
  <w:num w:numId="15" w16cid:durableId="843980057">
    <w:abstractNumId w:val="43"/>
  </w:num>
  <w:num w:numId="16" w16cid:durableId="723331198">
    <w:abstractNumId w:val="0"/>
  </w:num>
  <w:num w:numId="17" w16cid:durableId="1051541942">
    <w:abstractNumId w:val="16"/>
  </w:num>
  <w:num w:numId="18" w16cid:durableId="992640167">
    <w:abstractNumId w:val="15"/>
  </w:num>
  <w:num w:numId="19" w16cid:durableId="221604483">
    <w:abstractNumId w:val="29"/>
  </w:num>
  <w:num w:numId="20" w16cid:durableId="1277057417">
    <w:abstractNumId w:val="33"/>
  </w:num>
  <w:num w:numId="21" w16cid:durableId="473837002">
    <w:abstractNumId w:val="17"/>
  </w:num>
  <w:num w:numId="22" w16cid:durableId="1231581282">
    <w:abstractNumId w:val="27"/>
  </w:num>
  <w:num w:numId="23" w16cid:durableId="25375010">
    <w:abstractNumId w:val="20"/>
  </w:num>
  <w:num w:numId="24" w16cid:durableId="1088817110">
    <w:abstractNumId w:val="8"/>
  </w:num>
  <w:num w:numId="25" w16cid:durableId="368922305">
    <w:abstractNumId w:val="30"/>
  </w:num>
  <w:num w:numId="26" w16cid:durableId="1220705792">
    <w:abstractNumId w:val="39"/>
  </w:num>
  <w:num w:numId="27" w16cid:durableId="412050134">
    <w:abstractNumId w:val="4"/>
  </w:num>
  <w:num w:numId="28" w16cid:durableId="969749540">
    <w:abstractNumId w:val="35"/>
  </w:num>
  <w:num w:numId="29" w16cid:durableId="1947733312">
    <w:abstractNumId w:val="7"/>
  </w:num>
  <w:num w:numId="30" w16cid:durableId="1279265473">
    <w:abstractNumId w:val="2"/>
  </w:num>
  <w:num w:numId="31" w16cid:durableId="1347367541">
    <w:abstractNumId w:val="21"/>
  </w:num>
  <w:num w:numId="32" w16cid:durableId="1979138879">
    <w:abstractNumId w:val="34"/>
  </w:num>
  <w:num w:numId="33" w16cid:durableId="1765417263">
    <w:abstractNumId w:val="9"/>
  </w:num>
  <w:num w:numId="34" w16cid:durableId="900409560">
    <w:abstractNumId w:val="18"/>
  </w:num>
  <w:num w:numId="35" w16cid:durableId="1084570917">
    <w:abstractNumId w:val="10"/>
  </w:num>
  <w:num w:numId="36" w16cid:durableId="753206618">
    <w:abstractNumId w:val="41"/>
  </w:num>
  <w:num w:numId="37" w16cid:durableId="1671565730">
    <w:abstractNumId w:val="44"/>
  </w:num>
  <w:num w:numId="38" w16cid:durableId="516383318">
    <w:abstractNumId w:val="13"/>
  </w:num>
  <w:num w:numId="39" w16cid:durableId="1683700962">
    <w:abstractNumId w:val="31"/>
  </w:num>
  <w:num w:numId="40" w16cid:durableId="418407197">
    <w:abstractNumId w:val="46"/>
  </w:num>
  <w:num w:numId="41" w16cid:durableId="1458404291">
    <w:abstractNumId w:val="11"/>
  </w:num>
  <w:num w:numId="42" w16cid:durableId="1160581542">
    <w:abstractNumId w:val="26"/>
  </w:num>
  <w:num w:numId="43" w16cid:durableId="720521167">
    <w:abstractNumId w:val="28"/>
  </w:num>
  <w:num w:numId="44" w16cid:durableId="611010541">
    <w:abstractNumId w:val="12"/>
  </w:num>
  <w:num w:numId="45" w16cid:durableId="26569347">
    <w:abstractNumId w:val="42"/>
  </w:num>
  <w:num w:numId="46" w16cid:durableId="222251813">
    <w:abstractNumId w:val="37"/>
  </w:num>
  <w:num w:numId="47" w16cid:durableId="1958101159">
    <w:abstractNumId w:val="3"/>
  </w:num>
  <w:num w:numId="48" w16cid:durableId="3273664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B1"/>
    <w:rsid w:val="00023C6B"/>
    <w:rsid w:val="00062FDE"/>
    <w:rsid w:val="000745F4"/>
    <w:rsid w:val="00092EBE"/>
    <w:rsid w:val="00111BE3"/>
    <w:rsid w:val="001226BA"/>
    <w:rsid w:val="00133D43"/>
    <w:rsid w:val="00177D42"/>
    <w:rsid w:val="00181471"/>
    <w:rsid w:val="00194A82"/>
    <w:rsid w:val="001A6843"/>
    <w:rsid w:val="001C68C1"/>
    <w:rsid w:val="001E3D1B"/>
    <w:rsid w:val="00220BE0"/>
    <w:rsid w:val="002654FB"/>
    <w:rsid w:val="00276EF0"/>
    <w:rsid w:val="002857AC"/>
    <w:rsid w:val="002E5BEF"/>
    <w:rsid w:val="00353B15"/>
    <w:rsid w:val="00362053"/>
    <w:rsid w:val="003924D9"/>
    <w:rsid w:val="00395418"/>
    <w:rsid w:val="003A3511"/>
    <w:rsid w:val="003E48C0"/>
    <w:rsid w:val="003F06E1"/>
    <w:rsid w:val="0040346E"/>
    <w:rsid w:val="004438DB"/>
    <w:rsid w:val="00453BDE"/>
    <w:rsid w:val="00457B4E"/>
    <w:rsid w:val="004A0611"/>
    <w:rsid w:val="004B1683"/>
    <w:rsid w:val="004E2DFE"/>
    <w:rsid w:val="00530565"/>
    <w:rsid w:val="00547AC8"/>
    <w:rsid w:val="0057469A"/>
    <w:rsid w:val="005B13E3"/>
    <w:rsid w:val="005B524E"/>
    <w:rsid w:val="005E5B34"/>
    <w:rsid w:val="00601CBC"/>
    <w:rsid w:val="00612FC5"/>
    <w:rsid w:val="00614BBC"/>
    <w:rsid w:val="0063720D"/>
    <w:rsid w:val="00672C1B"/>
    <w:rsid w:val="006C477F"/>
    <w:rsid w:val="006E3657"/>
    <w:rsid w:val="00703FCD"/>
    <w:rsid w:val="00742234"/>
    <w:rsid w:val="00753C8A"/>
    <w:rsid w:val="00772556"/>
    <w:rsid w:val="00826BEB"/>
    <w:rsid w:val="00892B28"/>
    <w:rsid w:val="008A013A"/>
    <w:rsid w:val="0090404C"/>
    <w:rsid w:val="009055C9"/>
    <w:rsid w:val="00927B97"/>
    <w:rsid w:val="009A68A0"/>
    <w:rsid w:val="009E06DD"/>
    <w:rsid w:val="009E1266"/>
    <w:rsid w:val="00A43ADD"/>
    <w:rsid w:val="00A477A2"/>
    <w:rsid w:val="00A478DC"/>
    <w:rsid w:val="00A64EBD"/>
    <w:rsid w:val="00A8391F"/>
    <w:rsid w:val="00B11362"/>
    <w:rsid w:val="00B604A6"/>
    <w:rsid w:val="00B74EB4"/>
    <w:rsid w:val="00B77F5B"/>
    <w:rsid w:val="00C158A5"/>
    <w:rsid w:val="00C408E8"/>
    <w:rsid w:val="00C473B1"/>
    <w:rsid w:val="00C54A6A"/>
    <w:rsid w:val="00C60126"/>
    <w:rsid w:val="00C62B8A"/>
    <w:rsid w:val="00C823BB"/>
    <w:rsid w:val="00C955DD"/>
    <w:rsid w:val="00CF24F8"/>
    <w:rsid w:val="00D24908"/>
    <w:rsid w:val="00D34890"/>
    <w:rsid w:val="00D84286"/>
    <w:rsid w:val="00D87FD4"/>
    <w:rsid w:val="00D978B3"/>
    <w:rsid w:val="00D97F93"/>
    <w:rsid w:val="00E73BB2"/>
    <w:rsid w:val="00E77BDF"/>
    <w:rsid w:val="00E8451E"/>
    <w:rsid w:val="00EA6380"/>
    <w:rsid w:val="00EB131A"/>
    <w:rsid w:val="00ED0CF5"/>
    <w:rsid w:val="00EF4CD3"/>
    <w:rsid w:val="00FC0F95"/>
    <w:rsid w:val="00FE73BA"/>
    <w:rsid w:val="014D3071"/>
    <w:rsid w:val="022D1EAD"/>
    <w:rsid w:val="027DBDBF"/>
    <w:rsid w:val="028DD493"/>
    <w:rsid w:val="042F6735"/>
    <w:rsid w:val="0641EFC7"/>
    <w:rsid w:val="07CF74C6"/>
    <w:rsid w:val="085C39AC"/>
    <w:rsid w:val="0AA15D55"/>
    <w:rsid w:val="0D34AB2C"/>
    <w:rsid w:val="1000CF79"/>
    <w:rsid w:val="1F84626B"/>
    <w:rsid w:val="24F74AC8"/>
    <w:rsid w:val="25EBCC14"/>
    <w:rsid w:val="2A949846"/>
    <w:rsid w:val="2BF4EE08"/>
    <w:rsid w:val="31D10509"/>
    <w:rsid w:val="33443DDD"/>
    <w:rsid w:val="39AB43E4"/>
    <w:rsid w:val="3E565A20"/>
    <w:rsid w:val="3E9D58A6"/>
    <w:rsid w:val="449B9D6B"/>
    <w:rsid w:val="45F18223"/>
    <w:rsid w:val="47B0A385"/>
    <w:rsid w:val="4CD9E24D"/>
    <w:rsid w:val="4CF766A1"/>
    <w:rsid w:val="4D26379E"/>
    <w:rsid w:val="4DEA92AA"/>
    <w:rsid w:val="4EBC804C"/>
    <w:rsid w:val="4FBB3E83"/>
    <w:rsid w:val="51154967"/>
    <w:rsid w:val="5378B711"/>
    <w:rsid w:val="5493AE69"/>
    <w:rsid w:val="57457717"/>
    <w:rsid w:val="58A2C4BC"/>
    <w:rsid w:val="58E87994"/>
    <w:rsid w:val="5AE3A882"/>
    <w:rsid w:val="636A9FF0"/>
    <w:rsid w:val="64B2F713"/>
    <w:rsid w:val="6558A326"/>
    <w:rsid w:val="65C1448E"/>
    <w:rsid w:val="66C9E1D1"/>
    <w:rsid w:val="6705C8C9"/>
    <w:rsid w:val="67DCC6E4"/>
    <w:rsid w:val="6BA8E3AC"/>
    <w:rsid w:val="6CA696C6"/>
    <w:rsid w:val="707D8167"/>
    <w:rsid w:val="77C6A13A"/>
    <w:rsid w:val="780BA0EA"/>
    <w:rsid w:val="7EF952B4"/>
    <w:rsid w:val="7F4723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8636"/>
  <w15:chartTrackingRefBased/>
  <w15:docId w15:val="{6C041715-511E-41E7-BDF9-327CFF46A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F93"/>
  </w:style>
  <w:style w:type="paragraph" w:styleId="Ttulo1">
    <w:name w:val="heading 1"/>
    <w:basedOn w:val="Normal"/>
    <w:next w:val="Normal"/>
    <w:link w:val="Ttulo1Char"/>
    <w:uiPriority w:val="9"/>
    <w:qFormat/>
    <w:rsid w:val="00C473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473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473B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473B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473B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473B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473B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473B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473B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473B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473B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473B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C473B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473B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473B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473B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473B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473B1"/>
    <w:rPr>
      <w:rFonts w:eastAsiaTheme="majorEastAsia" w:cstheme="majorBidi"/>
      <w:color w:val="272727" w:themeColor="text1" w:themeTint="D8"/>
    </w:rPr>
  </w:style>
  <w:style w:type="paragraph" w:styleId="Ttulo">
    <w:name w:val="Title"/>
    <w:basedOn w:val="Normal"/>
    <w:next w:val="Normal"/>
    <w:link w:val="TtuloChar"/>
    <w:uiPriority w:val="10"/>
    <w:qFormat/>
    <w:rsid w:val="00C47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473B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473B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473B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473B1"/>
    <w:pPr>
      <w:spacing w:before="160"/>
      <w:jc w:val="center"/>
    </w:pPr>
    <w:rPr>
      <w:i/>
      <w:iCs/>
      <w:color w:val="404040" w:themeColor="text1" w:themeTint="BF"/>
    </w:rPr>
  </w:style>
  <w:style w:type="character" w:customStyle="1" w:styleId="CitaoChar">
    <w:name w:val="Citação Char"/>
    <w:basedOn w:val="Fontepargpadro"/>
    <w:link w:val="Citao"/>
    <w:uiPriority w:val="29"/>
    <w:rsid w:val="00C473B1"/>
    <w:rPr>
      <w:i/>
      <w:iCs/>
      <w:color w:val="404040" w:themeColor="text1" w:themeTint="BF"/>
    </w:rPr>
  </w:style>
  <w:style w:type="paragraph" w:styleId="PargrafodaLista">
    <w:name w:val="List Paragraph"/>
    <w:basedOn w:val="Normal"/>
    <w:uiPriority w:val="34"/>
    <w:qFormat/>
    <w:rsid w:val="00C473B1"/>
    <w:pPr>
      <w:ind w:left="720"/>
      <w:contextualSpacing/>
    </w:pPr>
  </w:style>
  <w:style w:type="character" w:styleId="nfaseIntensa">
    <w:name w:val="Intense Emphasis"/>
    <w:basedOn w:val="Fontepargpadro"/>
    <w:uiPriority w:val="21"/>
    <w:qFormat/>
    <w:rsid w:val="00C473B1"/>
    <w:rPr>
      <w:i/>
      <w:iCs/>
      <w:color w:val="0F4761" w:themeColor="accent1" w:themeShade="BF"/>
    </w:rPr>
  </w:style>
  <w:style w:type="paragraph" w:styleId="CitaoIntensa">
    <w:name w:val="Intense Quote"/>
    <w:basedOn w:val="Normal"/>
    <w:next w:val="Normal"/>
    <w:link w:val="CitaoIntensaChar"/>
    <w:uiPriority w:val="30"/>
    <w:qFormat/>
    <w:rsid w:val="00C473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473B1"/>
    <w:rPr>
      <w:i/>
      <w:iCs/>
      <w:color w:val="0F4761" w:themeColor="accent1" w:themeShade="BF"/>
    </w:rPr>
  </w:style>
  <w:style w:type="character" w:styleId="RefernciaIntensa">
    <w:name w:val="Intense Reference"/>
    <w:basedOn w:val="Fontepargpadro"/>
    <w:uiPriority w:val="32"/>
    <w:qFormat/>
    <w:rsid w:val="00C473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3bac794-f5a1-496b-8e92-bd48b7d01b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FDB3D7E7B1ED42A23918EF4A256818" ma:contentTypeVersion="17" ma:contentTypeDescription="Create a new document." ma:contentTypeScope="" ma:versionID="6778717b9c75dd7b54a00709d1fe3337">
  <xsd:schema xmlns:xsd="http://www.w3.org/2001/XMLSchema" xmlns:xs="http://www.w3.org/2001/XMLSchema" xmlns:p="http://schemas.microsoft.com/office/2006/metadata/properties" xmlns:ns3="e3bac794-f5a1-496b-8e92-bd48b7d01bd6" xmlns:ns4="80de9459-be97-4bb4-b99c-a9164cc99362" targetNamespace="http://schemas.microsoft.com/office/2006/metadata/properties" ma:root="true" ma:fieldsID="5bb5413d46f665666166d21d6abb55e8" ns3:_="" ns4:_="">
    <xsd:import namespace="e3bac794-f5a1-496b-8e92-bd48b7d01bd6"/>
    <xsd:import namespace="80de9459-be97-4bb4-b99c-a9164cc993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c794-f5a1-496b-8e92-bd48b7d01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de9459-be97-4bb4-b99c-a9164cc9936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DA470-6B02-4E50-8301-3CFC59968CCE}">
  <ds:schemaRefs>
    <ds:schemaRef ds:uri="http://schemas.microsoft.com/sharepoint/v3/contenttype/forms"/>
  </ds:schemaRefs>
</ds:datastoreItem>
</file>

<file path=customXml/itemProps2.xml><?xml version="1.0" encoding="utf-8"?>
<ds:datastoreItem xmlns:ds="http://schemas.openxmlformats.org/officeDocument/2006/customXml" ds:itemID="{277B0813-6C23-4A00-AD79-8965EBAB8AD8}">
  <ds:schemaRefs>
    <ds:schemaRef ds:uri="http://schemas.microsoft.com/office/2006/metadata/properties"/>
    <ds:schemaRef ds:uri="http://schemas.microsoft.com/office/infopath/2007/PartnerControls"/>
    <ds:schemaRef ds:uri="e3bac794-f5a1-496b-8e92-bd48b7d01bd6"/>
  </ds:schemaRefs>
</ds:datastoreItem>
</file>

<file path=customXml/itemProps3.xml><?xml version="1.0" encoding="utf-8"?>
<ds:datastoreItem xmlns:ds="http://schemas.openxmlformats.org/officeDocument/2006/customXml" ds:itemID="{4C505574-03D5-4C22-B804-FBB4BD799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c794-f5a1-496b-8e92-bd48b7d01bd6"/>
    <ds:schemaRef ds:uri="80de9459-be97-4bb4-b99c-a9164cc993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1690</Words>
  <Characters>9537</Characters>
  <Application>Microsoft Office Word</Application>
  <DocSecurity>0</DocSecurity>
  <Lines>187</Lines>
  <Paragraphs>57</Paragraphs>
  <ScaleCrop>false</ScaleCrop>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Eduardo Ademi Teixeira</dc:creator>
  <cp:keywords/>
  <dc:description/>
  <cp:lastModifiedBy>Luiz Eduardo Ademi Teixeira</cp:lastModifiedBy>
  <cp:revision>60</cp:revision>
  <dcterms:created xsi:type="dcterms:W3CDTF">2026-04-02T14:36:00Z</dcterms:created>
  <dcterms:modified xsi:type="dcterms:W3CDTF">2026-04-24T21:17:00Z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0x010100DFFDB3D7E7B1ED42A23918EF4A256818</vt:lpwstr>
  </property>
</Properties>
</file>